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98" w:hanging="994"/>
        <w:jc w:val="right"/>
      </w:pPr>
      <w:r>
        <w:rPr/>
        <w:t>ADOPTED – OCTOBER 27, 2026 AGENDA ITEM NO. 29</w:t>
      </w:r>
    </w:p>
    <w:p>
      <w:pPr>
        <w:pStyle w:val="BodyText"/>
        <w:spacing w:before="7"/>
        <w:rPr>
          <w:b/>
          <w:sz w:val="16"/>
        </w:rPr>
      </w:pPr>
    </w:p>
    <w:p>
      <w:pPr>
        <w:pStyle w:val="BodyText"/>
        <w:spacing w:before="90"/>
        <w:ind w:left="120"/>
      </w:pPr>
      <w:r>
        <w:rPr/>
        <w:t>Introduced by the Law &amp; Courts and Finance Committees of the:</w:t>
      </w:r>
    </w:p>
    <w:p>
      <w:pPr>
        <w:pStyle w:val="BodyText"/>
      </w:pPr>
    </w:p>
    <w:p>
      <w:pPr>
        <w:pStyle w:val="BodyText"/>
        <w:ind w:left="123" w:right="107"/>
        <w:jc w:val="center"/>
      </w:pPr>
      <w:r>
        <w:rPr/>
        <w:t>INGHAM COUNTY BOARD OF COMMISSIONERS</w:t>
      </w:r>
    </w:p>
    <w:p>
      <w:pPr>
        <w:pStyle w:val="BodyText"/>
      </w:pPr>
    </w:p>
    <w:p>
      <w:pPr>
        <w:pStyle w:val="Heading1"/>
        <w:ind w:left="129"/>
      </w:pPr>
      <w:r>
        <w:rPr/>
        <w:t>RESOLUTION TO AUTHORIZE THE INGHAM COUNTY 55TH DISTRICT COURT TO ACCEPT A GRANT AWARD FROM THE STATE COURT ADMINISTRATIVE OFFICE - MICHIGAN DRUG COURT GRANT PROGRAM AND AUTHORIZE SUBCONTRACTS</w:t>
      </w:r>
    </w:p>
    <w:p>
      <w:pPr>
        <w:pStyle w:val="BodyText"/>
        <w:rPr>
          <w:b/>
        </w:rPr>
      </w:pPr>
    </w:p>
    <w:p>
      <w:pPr>
        <w:spacing w:before="0"/>
        <w:ind w:left="127" w:right="107" w:firstLine="0"/>
        <w:jc w:val="center"/>
        <w:rPr>
          <w:b/>
          <w:sz w:val="24"/>
        </w:rPr>
      </w:pPr>
      <w:r>
        <w:rPr>
          <w:b/>
          <w:sz w:val="24"/>
        </w:rPr>
        <w:t>RESOLUTION #26 – 540</w:t>
      </w:r>
    </w:p>
    <w:p>
      <w:pPr>
        <w:pStyle w:val="BodyText"/>
        <w:rPr>
          <w:b/>
          <w:sz w:val="26"/>
        </w:rPr>
      </w:pPr>
    </w:p>
    <w:p>
      <w:pPr>
        <w:pStyle w:val="BodyText"/>
        <w:spacing w:before="7"/>
        <w:rPr>
          <w:b/>
          <w:sz w:val="20"/>
        </w:rPr>
      </w:pPr>
    </w:p>
    <w:p>
      <w:pPr>
        <w:pStyle w:val="BodyText"/>
        <w:spacing w:before="1"/>
        <w:ind w:left="120"/>
      </w:pPr>
      <w:r>
        <w:rPr/>
        <w:t>WHEREAS, since 2004, the 55</w:t>
      </w:r>
      <w:r>
        <w:rPr>
          <w:position w:val="9"/>
          <w:sz w:val="16"/>
        </w:rPr>
        <w:t>th </w:t>
      </w:r>
      <w:r>
        <w:rPr/>
        <w:t>District Court Sobriety Court Program ("Sobriety Court") provided quality services to the citizens of Ingham County; and</w:t>
      </w:r>
    </w:p>
    <w:p>
      <w:pPr>
        <w:pStyle w:val="BodyText"/>
      </w:pPr>
    </w:p>
    <w:p>
      <w:pPr>
        <w:pStyle w:val="BodyText"/>
        <w:ind w:left="120"/>
      </w:pPr>
      <w:r>
        <w:rPr/>
        <w:t>WHEREAS, continuation of Sobriety Court requires employment of 1.5 FTE probation officer positions; and</w:t>
      </w:r>
    </w:p>
    <w:p>
      <w:pPr>
        <w:pStyle w:val="BodyText"/>
        <w:spacing w:before="9"/>
        <w:rPr>
          <w:sz w:val="23"/>
        </w:rPr>
      </w:pPr>
    </w:p>
    <w:p>
      <w:pPr>
        <w:pStyle w:val="BodyText"/>
        <w:ind w:left="120" w:right="228"/>
      </w:pPr>
      <w:r>
        <w:rPr/>
        <w:t>WHEREAS, sources of sobriety court grant funding have been identified, including but not limited to the State Court Administrative Office - Michigan Drug Court Grant Program (SCAO-MDCGP).</w:t>
      </w:r>
    </w:p>
    <w:p>
      <w:pPr>
        <w:pStyle w:val="BodyText"/>
        <w:spacing w:before="7"/>
        <w:rPr>
          <w:sz w:val="22"/>
        </w:rPr>
      </w:pPr>
    </w:p>
    <w:p>
      <w:pPr>
        <w:pStyle w:val="BodyText"/>
        <w:spacing w:before="1"/>
        <w:ind w:left="120" w:right="301"/>
      </w:pPr>
      <w:r>
        <w:rPr/>
        <w:t>THEREFORE, BE IT RESOLVED, that the Ingham County Board of Commissioners authorizes the 55</w:t>
      </w:r>
      <w:r>
        <w:rPr>
          <w:position w:val="9"/>
          <w:sz w:val="16"/>
        </w:rPr>
        <w:t>th </w:t>
      </w:r>
      <w:r>
        <w:rPr/>
        <w:t>District Court to accept a SCAO-MDCGP grant in the amount of $193,314, commencing October 1, 2026 and ending September 30, 2027.</w:t>
      </w:r>
    </w:p>
    <w:p>
      <w:pPr>
        <w:pStyle w:val="BodyText"/>
      </w:pPr>
    </w:p>
    <w:p>
      <w:pPr>
        <w:pStyle w:val="BodyText"/>
        <w:ind w:left="120" w:right="289"/>
      </w:pPr>
      <w:r>
        <w:rPr/>
        <w:t>BE IT FURTHER RESOLVED, that the Ingham County Board of Commissioners authorizes the Board Chairperson to sign additional or amended contracts after review by the County Attorney if additional funding is awarded within the period of October 1, 2026, through September 30, 2027.</w:t>
      </w:r>
    </w:p>
    <w:p>
      <w:pPr>
        <w:pStyle w:val="BodyText"/>
        <w:spacing w:before="6"/>
      </w:pPr>
    </w:p>
    <w:p>
      <w:pPr>
        <w:pStyle w:val="BodyText"/>
        <w:spacing w:line="232" w:lineRule="auto" w:before="1"/>
        <w:ind w:left="120"/>
      </w:pPr>
      <w:r>
        <w:rPr/>
        <w:t>BE IT FURTHER RESOLVED, that the Ingham County Board of Commissioners authorizes acceptance of donations from the Mid-Michigan Treatment Courts Foundation as well as other organizations, groups and individuals to the Ingham County 55</w:t>
      </w:r>
      <w:r>
        <w:rPr>
          <w:position w:val="9"/>
          <w:sz w:val="16"/>
        </w:rPr>
        <w:t>th </w:t>
      </w:r>
      <w:r>
        <w:rPr/>
        <w:t>District Court Sobriety Court.</w:t>
      </w:r>
    </w:p>
    <w:p>
      <w:pPr>
        <w:pStyle w:val="BodyText"/>
        <w:spacing w:before="9"/>
      </w:pPr>
    </w:p>
    <w:p>
      <w:pPr>
        <w:pStyle w:val="BodyText"/>
        <w:spacing w:line="232" w:lineRule="auto"/>
        <w:ind w:left="119" w:right="658"/>
      </w:pPr>
      <w:r>
        <w:rPr/>
        <w:t>BE IT FURTHER RESOLVED, that the Ingham County Board of Commissioners hereby expresses its appreciation to the Ingham County Sobriety Court Foundation for any possible future donations to the 55</w:t>
      </w:r>
      <w:r>
        <w:rPr>
          <w:position w:val="9"/>
          <w:sz w:val="16"/>
        </w:rPr>
        <w:t>th </w:t>
      </w:r>
      <w:r>
        <w:rPr/>
        <w:t>District Court Sobriety Court Program and authorizes the program to accept any future possible donation.</w:t>
      </w:r>
    </w:p>
    <w:p>
      <w:pPr>
        <w:pStyle w:val="BodyText"/>
        <w:spacing w:before="3"/>
      </w:pPr>
    </w:p>
    <w:p>
      <w:pPr>
        <w:pStyle w:val="BodyText"/>
        <w:ind w:left="120"/>
      </w:pPr>
      <w:r>
        <w:rPr/>
        <w:t>BE IT FURTHER RESOLVED, that the Ingham County Board of Commissioners approves a Sobriety Court budget not to exceed $443,558 unless additional funding is made available, to include SCAO/MDCGP grant funds in the amount of $193,314 and Ingham County In-Kind matching funds of $250,244.</w:t>
      </w:r>
    </w:p>
    <w:p>
      <w:pPr>
        <w:pStyle w:val="BodyText"/>
        <w:spacing w:before="8"/>
        <w:rPr>
          <w:sz w:val="22"/>
        </w:rPr>
      </w:pPr>
    </w:p>
    <w:p>
      <w:pPr>
        <w:pStyle w:val="BodyText"/>
        <w:ind w:left="120" w:right="244"/>
        <w:jc w:val="both"/>
      </w:pPr>
      <w:r>
        <w:rPr/>
        <w:t>BE IT FURTHER RESOLVED, that the 55</w:t>
      </w:r>
      <w:r>
        <w:rPr>
          <w:position w:val="9"/>
          <w:sz w:val="16"/>
        </w:rPr>
        <w:t>th </w:t>
      </w:r>
      <w:r>
        <w:rPr/>
        <w:t>District Court will allocate $9,600 of the Ingham County In-Kind funding to the Ingham County Office of the Public Defender for representation of non-indigent Sobriety Court participants.</w:t>
      </w:r>
    </w:p>
    <w:p>
      <w:pPr>
        <w:pStyle w:val="BodyText"/>
        <w:spacing w:before="7"/>
        <w:rPr>
          <w:sz w:val="22"/>
        </w:rPr>
      </w:pPr>
    </w:p>
    <w:p>
      <w:pPr>
        <w:pStyle w:val="BodyText"/>
        <w:spacing w:before="1"/>
        <w:ind w:left="120"/>
      </w:pPr>
      <w:r>
        <w:rPr/>
        <w:t>BE IT FURTHER RESOLVED, that the 55</w:t>
      </w:r>
      <w:r>
        <w:rPr>
          <w:position w:val="9"/>
          <w:sz w:val="16"/>
        </w:rPr>
        <w:t>th </w:t>
      </w:r>
      <w:r>
        <w:rPr/>
        <w:t>District Court will allocate up to $6,000 of the Ingham Count In- Kind funded Capital Area Transportation Authority (CATA) bus media to Sobriety Court participants with identified transportation needs.</w:t>
      </w:r>
    </w:p>
    <w:p>
      <w:pPr>
        <w:spacing w:after="0"/>
        <w:sectPr>
          <w:type w:val="continuous"/>
          <w:pgSz w:w="12240" w:h="15840"/>
          <w:pgMar w:top="1360" w:bottom="280" w:left="600" w:right="620"/>
        </w:sectPr>
      </w:pPr>
    </w:p>
    <w:p>
      <w:pPr>
        <w:pStyle w:val="BodyText"/>
        <w:spacing w:before="10"/>
        <w:rPr>
          <w:sz w:val="10"/>
        </w:rPr>
      </w:pPr>
    </w:p>
    <w:p>
      <w:pPr>
        <w:pStyle w:val="BodyText"/>
        <w:spacing w:before="90"/>
        <w:ind w:left="120" w:right="355"/>
      </w:pPr>
      <w:r>
        <w:rPr/>
        <w:t>BE IT FURTHER RESOLVED, that Sobriety Court program direct subcontracts for the following services in the following amounts are authorized:</w:t>
      </w:r>
    </w:p>
    <w:p>
      <w:pPr>
        <w:pStyle w:val="BodyText"/>
      </w:pPr>
    </w:p>
    <w:p>
      <w:pPr>
        <w:pStyle w:val="ListParagraph"/>
        <w:numPr>
          <w:ilvl w:val="0"/>
          <w:numId w:val="1"/>
        </w:numPr>
        <w:tabs>
          <w:tab w:pos="840" w:val="left" w:leader="none"/>
        </w:tabs>
        <w:spacing w:line="240" w:lineRule="auto" w:before="0" w:after="0"/>
        <w:ind w:left="840" w:right="0" w:hanging="360"/>
        <w:jc w:val="left"/>
        <w:rPr>
          <w:sz w:val="24"/>
        </w:rPr>
      </w:pPr>
      <w:r>
        <w:rPr>
          <w:sz w:val="24"/>
        </w:rPr>
        <w:t>Substance Use Testing with Averhealth and other vendors - not to exceed $93,228</w:t>
      </w:r>
      <w:r>
        <w:rPr>
          <w:spacing w:val="-8"/>
          <w:sz w:val="24"/>
        </w:rPr>
        <w:t> </w:t>
      </w:r>
      <w:r>
        <w:rPr>
          <w:sz w:val="24"/>
        </w:rPr>
        <w:t>and</w:t>
      </w:r>
    </w:p>
    <w:p>
      <w:pPr>
        <w:pStyle w:val="ListParagraph"/>
        <w:numPr>
          <w:ilvl w:val="0"/>
          <w:numId w:val="1"/>
        </w:numPr>
        <w:tabs>
          <w:tab w:pos="840" w:val="left" w:leader="none"/>
        </w:tabs>
        <w:spacing w:line="240" w:lineRule="auto" w:before="0" w:after="0"/>
        <w:ind w:left="480" w:right="741" w:firstLine="0"/>
        <w:jc w:val="left"/>
        <w:rPr>
          <w:sz w:val="24"/>
        </w:rPr>
      </w:pPr>
      <w:r>
        <w:rPr>
          <w:sz w:val="24"/>
        </w:rPr>
        <w:t>Evaluation and Treatment services with Cognitive Consultants and other qualified vendors– not</w:t>
      </w:r>
      <w:r>
        <w:rPr>
          <w:spacing w:val="-21"/>
          <w:sz w:val="24"/>
        </w:rPr>
        <w:t> </w:t>
      </w:r>
      <w:r>
        <w:rPr>
          <w:sz w:val="24"/>
        </w:rPr>
        <w:t>to exceed</w:t>
      </w:r>
      <w:r>
        <w:rPr>
          <w:spacing w:val="-1"/>
          <w:sz w:val="24"/>
        </w:rPr>
        <w:t> </w:t>
      </w:r>
      <w:r>
        <w:rPr>
          <w:sz w:val="24"/>
        </w:rPr>
        <w:t>$27,967.</w:t>
      </w:r>
    </w:p>
    <w:p>
      <w:pPr>
        <w:pStyle w:val="BodyText"/>
        <w:rPr>
          <w:sz w:val="25"/>
        </w:rPr>
      </w:pPr>
    </w:p>
    <w:p>
      <w:pPr>
        <w:pStyle w:val="BodyText"/>
        <w:spacing w:line="228" w:lineRule="auto"/>
        <w:ind w:left="120" w:right="95"/>
      </w:pPr>
      <w:r>
        <w:rPr/>
        <w:t>BE IT FURTHER RESOLVED, that the Controller/Administrator is directed to make the necessary adjustments to the 2026 and 2027 55</w:t>
      </w:r>
      <w:r>
        <w:rPr>
          <w:position w:val="9"/>
          <w:sz w:val="16"/>
        </w:rPr>
        <w:t>th </w:t>
      </w:r>
      <w:r>
        <w:rPr/>
        <w:t>District Court budget and Position Allocation List.</w:t>
      </w:r>
    </w:p>
    <w:p>
      <w:pPr>
        <w:pStyle w:val="BodyText"/>
        <w:spacing w:before="1"/>
      </w:pPr>
    </w:p>
    <w:p>
      <w:pPr>
        <w:pStyle w:val="BodyText"/>
        <w:ind w:left="120" w:right="96"/>
      </w:pPr>
      <w:r>
        <w:rPr/>
        <w:t>BE IT FURTHER RESOLVED, that the Ingham County Board of Commissioners authorizes the Board Chairperson to sign any necessary contract documents that are consistent with this resolution and approved as to form by the County Attorney.</w:t>
      </w:r>
    </w:p>
    <w:p>
      <w:pPr>
        <w:pStyle w:val="BodyText"/>
      </w:pPr>
    </w:p>
    <w:p>
      <w:pPr>
        <w:spacing w:before="0"/>
        <w:ind w:left="120" w:right="0" w:firstLine="0"/>
        <w:jc w:val="left"/>
        <w:rPr>
          <w:sz w:val="24"/>
        </w:rPr>
      </w:pPr>
      <w:r>
        <w:rPr>
          <w:b/>
          <w:sz w:val="24"/>
        </w:rPr>
        <w:t>LAW &amp; COURTS: Yeas</w:t>
      </w:r>
      <w:r>
        <w:rPr>
          <w:sz w:val="24"/>
        </w:rPr>
        <w:t>: Polsdofer, Willis, Peña, Cahill, Lawrence</w:t>
      </w:r>
    </w:p>
    <w:p>
      <w:pPr>
        <w:tabs>
          <w:tab w:pos="2231" w:val="left" w:leader="none"/>
          <w:tab w:pos="5889"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Trubac,</w:t>
      </w:r>
      <w:r>
        <w:rPr>
          <w:spacing w:val="-5"/>
          <w:sz w:val="24"/>
        </w:rPr>
        <w:t> </w:t>
      </w:r>
      <w:r>
        <w:rPr>
          <w:sz w:val="24"/>
        </w:rPr>
        <w:t>Johnson,</w:t>
      </w:r>
      <w:r>
        <w:rPr>
          <w:spacing w:val="-1"/>
          <w:sz w:val="24"/>
        </w:rPr>
        <w:t> </w:t>
      </w:r>
      <w:r>
        <w:rPr>
          <w:sz w:val="24"/>
        </w:rPr>
        <w:t>Schafer</w:t>
        <w:tab/>
      </w:r>
      <w:r>
        <w:rPr>
          <w:b/>
          <w:sz w:val="24"/>
        </w:rPr>
        <w:t>Approved  10/15/26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pgSz w:w="12240" w:h="15840"/>
      <w:pgMar w:top="150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40" w:hanging="360"/>
        <w:jc w:val="left"/>
      </w:pPr>
      <w:rPr>
        <w:rFonts w:hint="default" w:ascii="Times New Roman" w:hAnsi="Times New Roman" w:eastAsia="Times New Roman" w:cs="Times New Roman"/>
        <w:spacing w:val="-3"/>
        <w:w w:val="100"/>
        <w:sz w:val="24"/>
        <w:szCs w:val="24"/>
      </w:rPr>
    </w:lvl>
    <w:lvl w:ilvl="1">
      <w:start w:val="0"/>
      <w:numFmt w:val="bullet"/>
      <w:lvlText w:val="•"/>
      <w:lvlJc w:val="left"/>
      <w:pPr>
        <w:ind w:left="1858" w:hanging="360"/>
      </w:pPr>
      <w:rPr>
        <w:rFonts w:hint="default"/>
      </w:rPr>
    </w:lvl>
    <w:lvl w:ilvl="2">
      <w:start w:val="0"/>
      <w:numFmt w:val="bullet"/>
      <w:lvlText w:val="•"/>
      <w:lvlJc w:val="left"/>
      <w:pPr>
        <w:ind w:left="2876" w:hanging="360"/>
      </w:pPr>
      <w:rPr>
        <w:rFonts w:hint="default"/>
      </w:rPr>
    </w:lvl>
    <w:lvl w:ilvl="3">
      <w:start w:val="0"/>
      <w:numFmt w:val="bullet"/>
      <w:lvlText w:val="•"/>
      <w:lvlJc w:val="left"/>
      <w:pPr>
        <w:ind w:left="3894" w:hanging="360"/>
      </w:pPr>
      <w:rPr>
        <w:rFonts w:hint="default"/>
      </w:rPr>
    </w:lvl>
    <w:lvl w:ilvl="4">
      <w:start w:val="0"/>
      <w:numFmt w:val="bullet"/>
      <w:lvlText w:val="•"/>
      <w:lvlJc w:val="left"/>
      <w:pPr>
        <w:ind w:left="4912" w:hanging="360"/>
      </w:pPr>
      <w:rPr>
        <w:rFonts w:hint="default"/>
      </w:rPr>
    </w:lvl>
    <w:lvl w:ilvl="5">
      <w:start w:val="0"/>
      <w:numFmt w:val="bullet"/>
      <w:lvlText w:val="•"/>
      <w:lvlJc w:val="left"/>
      <w:pPr>
        <w:ind w:left="5930" w:hanging="360"/>
      </w:pPr>
      <w:rPr>
        <w:rFonts w:hint="default"/>
      </w:rPr>
    </w:lvl>
    <w:lvl w:ilvl="6">
      <w:start w:val="0"/>
      <w:numFmt w:val="bullet"/>
      <w:lvlText w:val="•"/>
      <w:lvlJc w:val="left"/>
      <w:pPr>
        <w:ind w:left="6948" w:hanging="360"/>
      </w:pPr>
      <w:rPr>
        <w:rFonts w:hint="default"/>
      </w:rPr>
    </w:lvl>
    <w:lvl w:ilvl="7">
      <w:start w:val="0"/>
      <w:numFmt w:val="bullet"/>
      <w:lvlText w:val="•"/>
      <w:lvlJc w:val="left"/>
      <w:pPr>
        <w:ind w:left="7966" w:hanging="360"/>
      </w:pPr>
      <w:rPr>
        <w:rFonts w:hint="default"/>
      </w:rPr>
    </w:lvl>
    <w:lvl w:ilvl="8">
      <w:start w:val="0"/>
      <w:numFmt w:val="bullet"/>
      <w:lvlText w:val="•"/>
      <w:lvlJc w:val="left"/>
      <w:pPr>
        <w:ind w:left="8984"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27" w:right="107"/>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ind w:left="480" w:hanging="360"/>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2026-10-28T18:53:36Z</dcterms:created>
  <dcterms:modified xsi:type="dcterms:W3CDTF">2026-10-28T18:53:36Z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